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B48A" w14:textId="77777777" w:rsidR="00950DD4" w:rsidRPr="00EB457A" w:rsidRDefault="00DE7FBE" w:rsidP="00AE60D6">
      <w:pPr>
        <w:spacing w:after="0" w:line="240" w:lineRule="auto"/>
        <w:rPr>
          <w:rFonts w:cstheme="minorHAnsi"/>
          <w:color w:val="000000"/>
          <w:sz w:val="32"/>
          <w:szCs w:val="32"/>
          <w:shd w:val="clear" w:color="auto" w:fill="FFFFFF"/>
        </w:rPr>
      </w:pPr>
      <w:r>
        <w:rPr>
          <w:rStyle w:val="Strong"/>
          <w:rFonts w:cstheme="minorHAnsi"/>
          <w:color w:val="000000"/>
          <w:sz w:val="32"/>
          <w:szCs w:val="32"/>
          <w:bdr w:val="none" w:sz="0" w:space="0" w:color="auto" w:frame="1"/>
          <w:shd w:val="clear" w:color="auto" w:fill="FFFFFF"/>
        </w:rPr>
        <w:t>Public Compliance Statement of Fundraising</w:t>
      </w:r>
    </w:p>
    <w:p w14:paraId="5698EEF8" w14:textId="77777777" w:rsidR="00AE60D6" w:rsidRDefault="00AE60D6" w:rsidP="00AE60D6">
      <w:pPr>
        <w:spacing w:after="0" w:line="240" w:lineRule="auto"/>
      </w:pPr>
    </w:p>
    <w:p w14:paraId="44147BF5" w14:textId="77777777" w:rsidR="00DE7FBE" w:rsidRPr="00E24DF7" w:rsidRDefault="00DE7FBE" w:rsidP="00DE7FBE">
      <w:pPr>
        <w:rPr>
          <w:rFonts w:cstheme="minorHAnsi"/>
        </w:rPr>
      </w:pPr>
      <w:r w:rsidRPr="00E24DF7">
        <w:rPr>
          <w:rFonts w:cstheme="minorHAnsi"/>
        </w:rPr>
        <w:t xml:space="preserve">Hawk’s Well Theatre is committed to complying with the Charities Regulator "Guidelines for Charitable Organisations on Fundraising from the Public" which began with commitment to the ICTR Statement for Guiding Principles for Fundraising that was formally discussed and adopted at a meeting of the governing body. </w:t>
      </w:r>
    </w:p>
    <w:p w14:paraId="60E43401" w14:textId="77777777" w:rsidR="00DE7FBE" w:rsidRPr="00E24DF7" w:rsidRDefault="00DE7FBE" w:rsidP="00DE7FBE">
      <w:pPr>
        <w:rPr>
          <w:rFonts w:cstheme="minorHAnsi"/>
        </w:rPr>
      </w:pPr>
      <w:r w:rsidRPr="00E24DF7">
        <w:rPr>
          <w:rFonts w:cstheme="minorHAnsi"/>
        </w:rPr>
        <w:t xml:space="preserve">In addition, Hawk’s Well Theatre: </w:t>
      </w:r>
    </w:p>
    <w:p w14:paraId="2DABE793" w14:textId="77777777" w:rsidR="00DE7FBE" w:rsidRPr="00E24DF7" w:rsidRDefault="00DE7FBE" w:rsidP="00DE7FBE">
      <w:pPr>
        <w:pStyle w:val="ListParagraph"/>
        <w:numPr>
          <w:ilvl w:val="0"/>
          <w:numId w:val="3"/>
        </w:numPr>
        <w:rPr>
          <w:rFonts w:cstheme="minorHAnsi"/>
        </w:rPr>
      </w:pPr>
      <w:r>
        <w:rPr>
          <w:rFonts w:cstheme="minorHAnsi"/>
        </w:rPr>
        <w:t>Has a donor c</w:t>
      </w:r>
      <w:r w:rsidRPr="00E24DF7">
        <w:rPr>
          <w:rFonts w:cstheme="minorHAnsi"/>
        </w:rPr>
        <w:t xml:space="preserve">harter, which is consistent with the </w:t>
      </w:r>
      <w:r w:rsidRPr="00DE7FBE">
        <w:rPr>
          <w:rFonts w:cstheme="minorHAnsi"/>
          <w:i/>
        </w:rPr>
        <w:t>Guidelines for Charitable Organisations on Fundraising from the Public</w:t>
      </w:r>
      <w:r w:rsidRPr="00E24DF7">
        <w:rPr>
          <w:rFonts w:cstheme="minorHAnsi"/>
        </w:rPr>
        <w:t xml:space="preserve">. </w:t>
      </w:r>
    </w:p>
    <w:p w14:paraId="36DFCABE" w14:textId="77777777" w:rsidR="00DE7FBE" w:rsidRPr="00CA2FAB" w:rsidRDefault="00DE7FBE" w:rsidP="00DE7FBE">
      <w:pPr>
        <w:pStyle w:val="ListParagraph"/>
        <w:numPr>
          <w:ilvl w:val="0"/>
          <w:numId w:val="3"/>
        </w:numPr>
        <w:rPr>
          <w:rFonts w:cstheme="minorHAnsi"/>
        </w:rPr>
      </w:pPr>
      <w:r>
        <w:rPr>
          <w:rFonts w:cstheme="minorHAnsi"/>
        </w:rPr>
        <w:t>R</w:t>
      </w:r>
      <w:r w:rsidRPr="00E24DF7">
        <w:rPr>
          <w:rFonts w:cstheme="minorHAnsi"/>
        </w:rPr>
        <w:t xml:space="preserve">egularly monitors compliance with the </w:t>
      </w:r>
      <w:r w:rsidRPr="00DE7FBE">
        <w:rPr>
          <w:rFonts w:cstheme="minorHAnsi"/>
          <w:i/>
        </w:rPr>
        <w:t xml:space="preserve">Guidelines for Charitable Organisations on </w:t>
      </w:r>
      <w:r w:rsidRPr="00CA2FAB">
        <w:rPr>
          <w:rFonts w:cstheme="minorHAnsi"/>
          <w:i/>
        </w:rPr>
        <w:t>Fundraising from the Public</w:t>
      </w:r>
      <w:r w:rsidRPr="00CA2FAB">
        <w:rPr>
          <w:rFonts w:cstheme="minorHAnsi"/>
        </w:rPr>
        <w:t xml:space="preserve"> and considers these Guidelines when planning all fundraising activity. Compliance reports are </w:t>
      </w:r>
      <w:r w:rsidR="00CA2FAB" w:rsidRPr="00CA2FAB">
        <w:rPr>
          <w:rFonts w:cstheme="minorHAnsi"/>
        </w:rPr>
        <w:t xml:space="preserve">submitted annually to the Charities Regulator. </w:t>
      </w:r>
    </w:p>
    <w:p w14:paraId="4271BAC8" w14:textId="77777777" w:rsidR="00DE7FBE" w:rsidRPr="00CA2FAB" w:rsidRDefault="00DE7FBE" w:rsidP="00DE7FBE">
      <w:pPr>
        <w:pStyle w:val="ListParagraph"/>
        <w:numPr>
          <w:ilvl w:val="0"/>
          <w:numId w:val="3"/>
        </w:numPr>
        <w:rPr>
          <w:rFonts w:cstheme="minorHAnsi"/>
        </w:rPr>
      </w:pPr>
      <w:r w:rsidRPr="00CA2FAB">
        <w:rPr>
          <w:rFonts w:cstheme="minorHAnsi"/>
        </w:rPr>
        <w:t xml:space="preserve">Will develop a policy on working with third party fundraisers </w:t>
      </w:r>
      <w:r w:rsidR="00CA2FAB" w:rsidRPr="00CA2FAB">
        <w:rPr>
          <w:rFonts w:cstheme="minorHAnsi"/>
        </w:rPr>
        <w:t>if we pursue this option at any stage.</w:t>
      </w:r>
      <w:r w:rsidRPr="00CA2FAB">
        <w:rPr>
          <w:rFonts w:cstheme="minorHAnsi"/>
        </w:rPr>
        <w:t xml:space="preserve"> </w:t>
      </w:r>
    </w:p>
    <w:p w14:paraId="201769BE" w14:textId="77777777" w:rsidR="00DE7FBE" w:rsidRPr="00E24DF7" w:rsidRDefault="00DE7FBE" w:rsidP="00DE7FBE">
      <w:pPr>
        <w:pStyle w:val="ListParagraph"/>
        <w:numPr>
          <w:ilvl w:val="0"/>
          <w:numId w:val="3"/>
        </w:numPr>
        <w:rPr>
          <w:rFonts w:cstheme="minorHAnsi"/>
        </w:rPr>
      </w:pPr>
      <w:r>
        <w:rPr>
          <w:rFonts w:cstheme="minorHAnsi"/>
        </w:rPr>
        <w:t>P</w:t>
      </w:r>
      <w:r w:rsidRPr="00E24DF7">
        <w:rPr>
          <w:rFonts w:cstheme="minorHAnsi"/>
        </w:rPr>
        <w:t xml:space="preserve">rovides honest, open and transparent disclosure when fundraising from the public. </w:t>
      </w:r>
    </w:p>
    <w:p w14:paraId="3D4064C2" w14:textId="77777777" w:rsidR="00DE7FBE" w:rsidRPr="00E24DF7" w:rsidRDefault="00DE7FBE" w:rsidP="00DE7FBE">
      <w:pPr>
        <w:pStyle w:val="ListParagraph"/>
        <w:numPr>
          <w:ilvl w:val="0"/>
          <w:numId w:val="3"/>
        </w:numPr>
        <w:rPr>
          <w:rFonts w:cstheme="minorHAnsi"/>
        </w:rPr>
      </w:pPr>
      <w:r>
        <w:rPr>
          <w:rFonts w:cstheme="minorHAnsi"/>
        </w:rPr>
        <w:t xml:space="preserve">Has appointed </w:t>
      </w:r>
      <w:r w:rsidRPr="00E24DF7">
        <w:rPr>
          <w:rFonts w:cstheme="minorHAnsi"/>
        </w:rPr>
        <w:t>senior member</w:t>
      </w:r>
      <w:r>
        <w:rPr>
          <w:rFonts w:cstheme="minorHAnsi"/>
        </w:rPr>
        <w:t>s</w:t>
      </w:r>
      <w:r w:rsidRPr="00E24DF7">
        <w:rPr>
          <w:rFonts w:cstheme="minorHAnsi"/>
        </w:rPr>
        <w:t xml:space="preserve"> of staff to be responsible for compliance with these Guidelines and The Governance Code </w:t>
      </w:r>
    </w:p>
    <w:p w14:paraId="6A662BEF" w14:textId="77777777" w:rsidR="00DE7FBE" w:rsidRPr="00E24DF7" w:rsidRDefault="00DE7FBE" w:rsidP="00DE7FBE">
      <w:pPr>
        <w:pStyle w:val="ListParagraph"/>
        <w:numPr>
          <w:ilvl w:val="0"/>
          <w:numId w:val="3"/>
        </w:numPr>
        <w:rPr>
          <w:rFonts w:cstheme="minorHAnsi"/>
        </w:rPr>
      </w:pPr>
      <w:r>
        <w:rPr>
          <w:rFonts w:cstheme="minorHAnsi"/>
        </w:rPr>
        <w:t>E</w:t>
      </w:r>
      <w:r w:rsidRPr="00E24DF7">
        <w:rPr>
          <w:rFonts w:cstheme="minorHAnsi"/>
        </w:rPr>
        <w:t xml:space="preserve">nsures that all staff involved in fundraising are provided with information and training on the Guidelines for Charitable Organisations on Fundraising from the Public and its implementation. </w:t>
      </w:r>
    </w:p>
    <w:p w14:paraId="6CB05846" w14:textId="77777777" w:rsidR="00DE7FBE" w:rsidRPr="00E24DF7" w:rsidRDefault="00DE7FBE" w:rsidP="00DE7FBE">
      <w:pPr>
        <w:pStyle w:val="ListParagraph"/>
        <w:numPr>
          <w:ilvl w:val="0"/>
          <w:numId w:val="3"/>
        </w:numPr>
        <w:rPr>
          <w:rFonts w:cstheme="minorHAnsi"/>
        </w:rPr>
      </w:pPr>
      <w:r>
        <w:rPr>
          <w:rFonts w:cstheme="minorHAnsi"/>
        </w:rPr>
        <w:t>H</w:t>
      </w:r>
      <w:r w:rsidRPr="00E24DF7">
        <w:rPr>
          <w:rFonts w:cstheme="minorHAnsi"/>
        </w:rPr>
        <w:t xml:space="preserve">as a feedback and complaints procedure consistent with these Guidelines and </w:t>
      </w:r>
      <w:r>
        <w:rPr>
          <w:rFonts w:cstheme="minorHAnsi"/>
        </w:rPr>
        <w:t xml:space="preserve">ensures </w:t>
      </w:r>
      <w:r w:rsidRPr="00E24DF7">
        <w:rPr>
          <w:rFonts w:cstheme="minorHAnsi"/>
        </w:rPr>
        <w:t xml:space="preserve">that feedback is responded to promptly and appropriately and recorded </w:t>
      </w:r>
    </w:p>
    <w:p w14:paraId="44375736" w14:textId="77777777" w:rsidR="00DE7FBE" w:rsidRPr="00E24DF7" w:rsidRDefault="00DE7FBE" w:rsidP="00DE7FBE">
      <w:pPr>
        <w:pStyle w:val="ListParagraph"/>
        <w:numPr>
          <w:ilvl w:val="0"/>
          <w:numId w:val="3"/>
        </w:numPr>
        <w:rPr>
          <w:rFonts w:cstheme="minorHAnsi"/>
        </w:rPr>
      </w:pPr>
      <w:r>
        <w:rPr>
          <w:rFonts w:cstheme="minorHAnsi"/>
        </w:rPr>
        <w:t>P</w:t>
      </w:r>
      <w:r w:rsidRPr="00E24DF7">
        <w:rPr>
          <w:rFonts w:cstheme="minorHAnsi"/>
        </w:rPr>
        <w:t xml:space="preserve">repares financial reports consistent with the requirements of the Charities Act 2009, which include a statement concerning the extent to which control of the organisation is independent of its funding sources. </w:t>
      </w:r>
    </w:p>
    <w:p w14:paraId="1A198E1B" w14:textId="77777777" w:rsidR="00DE7FBE" w:rsidRPr="00E24DF7" w:rsidRDefault="00DE7FBE" w:rsidP="00DE7FBE">
      <w:pPr>
        <w:pStyle w:val="ListParagraph"/>
        <w:numPr>
          <w:ilvl w:val="0"/>
          <w:numId w:val="3"/>
        </w:numPr>
        <w:rPr>
          <w:rFonts w:cstheme="minorHAnsi"/>
        </w:rPr>
      </w:pPr>
      <w:r>
        <w:rPr>
          <w:rFonts w:cstheme="minorHAnsi"/>
        </w:rPr>
        <w:t>E</w:t>
      </w:r>
      <w:r w:rsidRPr="00E24DF7">
        <w:rPr>
          <w:rFonts w:cstheme="minorHAnsi"/>
        </w:rPr>
        <w:t>nsures that all donations are tracked and recorded and complies with data protection requirements.</w:t>
      </w:r>
    </w:p>
    <w:p w14:paraId="616D7354" w14:textId="77777777" w:rsidR="00DE7FBE" w:rsidRPr="00E24DF7" w:rsidRDefault="00DE7FBE" w:rsidP="00DE7FBE">
      <w:pPr>
        <w:pStyle w:val="ListParagraph"/>
        <w:numPr>
          <w:ilvl w:val="0"/>
          <w:numId w:val="3"/>
        </w:numPr>
        <w:rPr>
          <w:rFonts w:cstheme="minorHAnsi"/>
        </w:rPr>
      </w:pPr>
      <w:r>
        <w:rPr>
          <w:rFonts w:cstheme="minorHAnsi"/>
        </w:rPr>
        <w:t>C</w:t>
      </w:r>
      <w:r w:rsidRPr="00E24DF7">
        <w:rPr>
          <w:rFonts w:cstheme="minorHAnsi"/>
        </w:rPr>
        <w:t xml:space="preserve">omplies with all legal requirements with regard to data protection legislation. </w:t>
      </w:r>
    </w:p>
    <w:p w14:paraId="3EEE4F55" w14:textId="77777777" w:rsidR="00DE7FBE" w:rsidRPr="00E24DF7" w:rsidRDefault="00DE7FBE" w:rsidP="00DE7FBE">
      <w:pPr>
        <w:pStyle w:val="ListParagraph"/>
        <w:numPr>
          <w:ilvl w:val="0"/>
          <w:numId w:val="3"/>
        </w:numPr>
        <w:rPr>
          <w:rFonts w:cstheme="minorHAnsi"/>
        </w:rPr>
      </w:pPr>
      <w:r>
        <w:rPr>
          <w:rFonts w:cstheme="minorHAnsi"/>
        </w:rPr>
        <w:t>I</w:t>
      </w:r>
      <w:r w:rsidRPr="00E24DF7">
        <w:rPr>
          <w:rFonts w:cstheme="minorHAnsi"/>
        </w:rPr>
        <w:t xml:space="preserve">s accessible to the public through a number of readily available contact options. </w:t>
      </w:r>
    </w:p>
    <w:p w14:paraId="57664658" w14:textId="77777777" w:rsidR="00C95E26" w:rsidRPr="00EB457A" w:rsidRDefault="00C95E26" w:rsidP="00DE7FBE">
      <w:pPr>
        <w:spacing w:after="0" w:line="240" w:lineRule="auto"/>
        <w:rPr>
          <w:rFonts w:cstheme="minorHAnsi"/>
        </w:rPr>
      </w:pPr>
    </w:p>
    <w:sectPr w:rsidR="00C95E26" w:rsidRPr="00EB457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7918E" w14:textId="77777777" w:rsidR="005E7BAF" w:rsidRDefault="005E7BAF" w:rsidP="00EB457A">
      <w:pPr>
        <w:spacing w:after="0" w:line="240" w:lineRule="auto"/>
      </w:pPr>
      <w:r>
        <w:separator/>
      </w:r>
    </w:p>
  </w:endnote>
  <w:endnote w:type="continuationSeparator" w:id="0">
    <w:p w14:paraId="38529BF6" w14:textId="77777777" w:rsidR="005E7BAF" w:rsidRDefault="005E7BAF" w:rsidP="00EB4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49952" w14:textId="6A332B28" w:rsidR="00EB457A" w:rsidRDefault="00D60350">
    <w:pPr>
      <w:pStyle w:val="Footer"/>
    </w:pPr>
    <w:r>
      <w:t>V</w:t>
    </w:r>
    <w:r w:rsidR="006D5C76">
      <w:t>4</w:t>
    </w:r>
    <w:r>
      <w:t xml:space="preserve">: </w:t>
    </w:r>
    <w:r w:rsidR="006D5C76">
      <w:t>13/02/2023</w:t>
    </w:r>
  </w:p>
  <w:p w14:paraId="637AE7C2" w14:textId="77777777" w:rsidR="00EB457A" w:rsidRDefault="00EB4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58F57" w14:textId="77777777" w:rsidR="005E7BAF" w:rsidRDefault="005E7BAF" w:rsidP="00EB457A">
      <w:pPr>
        <w:spacing w:after="0" w:line="240" w:lineRule="auto"/>
      </w:pPr>
      <w:r>
        <w:separator/>
      </w:r>
    </w:p>
  </w:footnote>
  <w:footnote w:type="continuationSeparator" w:id="0">
    <w:p w14:paraId="43025312" w14:textId="77777777" w:rsidR="005E7BAF" w:rsidRDefault="005E7BAF" w:rsidP="00EB45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E17AC" w14:textId="77777777" w:rsidR="00EB457A" w:rsidRDefault="00EB457A" w:rsidP="00EB457A">
    <w:pPr>
      <w:pStyle w:val="Header"/>
      <w:jc w:val="right"/>
    </w:pPr>
    <w:r>
      <w:rPr>
        <w:noProof/>
        <w:lang w:eastAsia="en-IE"/>
      </w:rPr>
      <w:drawing>
        <wp:inline distT="0" distB="0" distL="0" distR="0" wp14:anchorId="52D044A2" wp14:editId="1AE5E8A0">
          <wp:extent cx="1007110" cy="354039"/>
          <wp:effectExtent l="0" t="0" r="254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WT logo.gif"/>
                  <pic:cNvPicPr/>
                </pic:nvPicPr>
                <pic:blipFill>
                  <a:blip r:embed="rId1">
                    <a:extLst>
                      <a:ext uri="{28A0092B-C50C-407E-A947-70E740481C1C}">
                        <a14:useLocalDpi xmlns:a14="http://schemas.microsoft.com/office/drawing/2010/main" val="0"/>
                      </a:ext>
                    </a:extLst>
                  </a:blip>
                  <a:stretch>
                    <a:fillRect/>
                  </a:stretch>
                </pic:blipFill>
                <pic:spPr>
                  <a:xfrm>
                    <a:off x="0" y="0"/>
                    <a:ext cx="1014382" cy="356595"/>
                  </a:xfrm>
                  <a:prstGeom prst="rect">
                    <a:avLst/>
                  </a:prstGeom>
                </pic:spPr>
              </pic:pic>
            </a:graphicData>
          </a:graphic>
        </wp:inline>
      </w:drawing>
    </w:r>
  </w:p>
  <w:p w14:paraId="047ECEE5" w14:textId="77777777" w:rsidR="007C5383" w:rsidRPr="00776E5C" w:rsidRDefault="007C5383" w:rsidP="007C5383">
    <w:pPr>
      <w:pStyle w:val="Header"/>
      <w:rPr>
        <w:rFonts w:ascii="Calibri" w:hAnsi="Calibri" w:cs="Calibri"/>
      </w:rPr>
    </w:pPr>
    <w:r w:rsidRPr="00776E5C">
      <w:rPr>
        <w:rFonts w:ascii="Calibri" w:hAnsi="Calibri" w:cs="Calibri"/>
      </w:rPr>
      <w:t xml:space="preserve">Hawk’s Well Theatre CLG: Policy Documentation; Ref </w:t>
    </w:r>
    <w:r>
      <w:rPr>
        <w:rFonts w:ascii="Calibri" w:hAnsi="Calibri" w:cs="Calibri"/>
      </w:rPr>
      <w:t>6</w:t>
    </w:r>
  </w:p>
  <w:p w14:paraId="0FD3DD85" w14:textId="77777777" w:rsidR="007C5383" w:rsidRDefault="007C5383" w:rsidP="007C5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D85730"/>
    <w:multiLevelType w:val="hybridMultilevel"/>
    <w:tmpl w:val="283843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946116C"/>
    <w:multiLevelType w:val="hybridMultilevel"/>
    <w:tmpl w:val="028C3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5A054F6"/>
    <w:multiLevelType w:val="hybridMultilevel"/>
    <w:tmpl w:val="46E646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22097596">
    <w:abstractNumId w:val="2"/>
  </w:num>
  <w:num w:numId="2" w16cid:durableId="1500777363">
    <w:abstractNumId w:val="0"/>
  </w:num>
  <w:num w:numId="3" w16cid:durableId="1626696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D4"/>
    <w:rsid w:val="0011249A"/>
    <w:rsid w:val="005B7FD8"/>
    <w:rsid w:val="005E7BAF"/>
    <w:rsid w:val="006D5C76"/>
    <w:rsid w:val="006E3056"/>
    <w:rsid w:val="00774A1A"/>
    <w:rsid w:val="007C5383"/>
    <w:rsid w:val="00847C1D"/>
    <w:rsid w:val="00950DD4"/>
    <w:rsid w:val="00AE60D6"/>
    <w:rsid w:val="00B811A5"/>
    <w:rsid w:val="00C05770"/>
    <w:rsid w:val="00C95E26"/>
    <w:rsid w:val="00CA2FAB"/>
    <w:rsid w:val="00D60350"/>
    <w:rsid w:val="00DD7CFF"/>
    <w:rsid w:val="00DE7FBE"/>
    <w:rsid w:val="00E41B24"/>
    <w:rsid w:val="00EB457A"/>
    <w:rsid w:val="00F61AC2"/>
    <w:rsid w:val="00FB69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83FC3"/>
  <w15:chartTrackingRefBased/>
  <w15:docId w15:val="{D5281E4D-BCE1-4DDC-AAEA-56F0762CA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0DD4"/>
    <w:rPr>
      <w:b/>
      <w:bCs/>
    </w:rPr>
  </w:style>
  <w:style w:type="paragraph" w:styleId="Header">
    <w:name w:val="header"/>
    <w:basedOn w:val="Normal"/>
    <w:link w:val="HeaderChar"/>
    <w:uiPriority w:val="99"/>
    <w:unhideWhenUsed/>
    <w:rsid w:val="00EB45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57A"/>
  </w:style>
  <w:style w:type="paragraph" w:styleId="Footer">
    <w:name w:val="footer"/>
    <w:basedOn w:val="Normal"/>
    <w:link w:val="FooterChar"/>
    <w:uiPriority w:val="99"/>
    <w:unhideWhenUsed/>
    <w:rsid w:val="00EB45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57A"/>
  </w:style>
  <w:style w:type="paragraph" w:styleId="ListParagraph">
    <w:name w:val="List Paragraph"/>
    <w:basedOn w:val="Normal"/>
    <w:uiPriority w:val="34"/>
    <w:qFormat/>
    <w:rsid w:val="00EB45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 Hawkswell</dc:creator>
  <cp:keywords/>
  <dc:description/>
  <cp:lastModifiedBy>Marie O'Byrne | Hawk's Well Theatre</cp:lastModifiedBy>
  <cp:revision>6</cp:revision>
  <dcterms:created xsi:type="dcterms:W3CDTF">2019-10-11T23:00:00Z</dcterms:created>
  <dcterms:modified xsi:type="dcterms:W3CDTF">2023-02-13T22:20:00Z</dcterms:modified>
</cp:coreProperties>
</file>