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DD6F5" w14:textId="77777777" w:rsidR="00687A3E" w:rsidRDefault="00687A3E" w:rsidP="00EE1AC5">
      <w:pPr>
        <w:spacing w:after="0" w:line="240" w:lineRule="auto"/>
      </w:pPr>
    </w:p>
    <w:p w14:paraId="799C1D50" w14:textId="77777777" w:rsidR="009E3428" w:rsidRPr="00EB457A" w:rsidRDefault="009E3428" w:rsidP="009E3428">
      <w:pPr>
        <w:spacing w:after="0" w:line="240" w:lineRule="auto"/>
        <w:rPr>
          <w:rFonts w:cstheme="minorHAnsi"/>
          <w:color w:val="000000"/>
          <w:sz w:val="32"/>
          <w:szCs w:val="32"/>
          <w:shd w:val="clear" w:color="auto" w:fill="FFFFFF"/>
        </w:rPr>
      </w:pPr>
      <w:r>
        <w:rPr>
          <w:rStyle w:val="Strong"/>
          <w:rFonts w:cstheme="minorHAnsi"/>
          <w:color w:val="000000"/>
          <w:sz w:val="32"/>
          <w:szCs w:val="32"/>
          <w:bdr w:val="none" w:sz="0" w:space="0" w:color="auto" w:frame="1"/>
          <w:shd w:val="clear" w:color="auto" w:fill="FFFFFF"/>
        </w:rPr>
        <w:t>Due Diligence – Beneficial Owner Statement</w:t>
      </w:r>
    </w:p>
    <w:p w14:paraId="751D7BA0" w14:textId="77777777" w:rsidR="00EE1AC5" w:rsidRDefault="00EE1AC5" w:rsidP="00EE1AC5">
      <w:pPr>
        <w:spacing w:after="0" w:line="240" w:lineRule="auto"/>
      </w:pPr>
    </w:p>
    <w:p w14:paraId="071C9134" w14:textId="77777777" w:rsidR="00687A3E" w:rsidRDefault="006A3831" w:rsidP="00EE1AC5">
      <w:pPr>
        <w:spacing w:after="0" w:line="240" w:lineRule="auto"/>
      </w:pPr>
      <w:r>
        <w:t xml:space="preserve">CRIMINAL JUSTICE (MONEY LAUNDERING &amp; TERRORIST FINANCING) ACT 2010 </w:t>
      </w:r>
    </w:p>
    <w:p w14:paraId="6DFB36E7" w14:textId="77777777" w:rsidR="006A3831" w:rsidRDefault="006A3831" w:rsidP="00EE1AC5">
      <w:pPr>
        <w:spacing w:after="0" w:line="240" w:lineRule="auto"/>
      </w:pPr>
    </w:p>
    <w:p w14:paraId="597632E7" w14:textId="77777777" w:rsidR="00EE1AC5" w:rsidRDefault="006A3831" w:rsidP="00EE1AC5">
      <w:pPr>
        <w:spacing w:after="0" w:line="240" w:lineRule="auto"/>
      </w:pPr>
      <w:r>
        <w:t xml:space="preserve">The not for profit organisation, </w:t>
      </w:r>
      <w:r w:rsidR="00EE1AC5">
        <w:t>Hawk’s Well Theatre</w:t>
      </w:r>
      <w:r>
        <w:t xml:space="preserve"> is a company limited by guarantee and as such has no shares and no facility to distribute surplus (profit). It is a registered charity (No CHY 1</w:t>
      </w:r>
      <w:r w:rsidR="00EE1AC5">
        <w:t>7611</w:t>
      </w:r>
      <w:r>
        <w:t xml:space="preserve">) and has no Beneficial Owners in accordance with the definition supplied, i.e. ‘an individual(s) who ultimately controls 25% or more of the voting rights within the Company, or who otherwise exercises control over the management of the Company’. </w:t>
      </w:r>
    </w:p>
    <w:p w14:paraId="268BB2D8" w14:textId="77777777" w:rsidR="00EE1AC5" w:rsidRDefault="00EE1AC5" w:rsidP="00EE1AC5">
      <w:pPr>
        <w:spacing w:after="0" w:line="240" w:lineRule="auto"/>
      </w:pPr>
    </w:p>
    <w:p w14:paraId="5858C3A9" w14:textId="77777777" w:rsidR="00EE1AC5" w:rsidRDefault="006A3831" w:rsidP="00EE1AC5">
      <w:pPr>
        <w:spacing w:after="0" w:line="240" w:lineRule="auto"/>
      </w:pPr>
      <w:r>
        <w:t xml:space="preserve">The Board of </w:t>
      </w:r>
      <w:r w:rsidR="00EE1AC5">
        <w:t xml:space="preserve">Hawk’s Well Theatre </w:t>
      </w:r>
      <w:r>
        <w:t xml:space="preserve">is </w:t>
      </w:r>
      <w:r w:rsidR="00EE1AC5">
        <w:t xml:space="preserve">a </w:t>
      </w:r>
      <w:r>
        <w:t xml:space="preserve">Governance Board and as a unit together with the Executive defines overall strategy and programmes on an annual basis including budgets. Each member has equal voting rights. The ‘control over the management of the Company’ is exercised by the Board and Executive of </w:t>
      </w:r>
      <w:r w:rsidR="00EE1AC5">
        <w:t xml:space="preserve">Hawk’s Well Theatre </w:t>
      </w:r>
      <w:r>
        <w:t xml:space="preserve">together. </w:t>
      </w:r>
    </w:p>
    <w:p w14:paraId="60571744" w14:textId="77777777" w:rsidR="00EE1AC5" w:rsidRDefault="00EE1AC5" w:rsidP="00EE1AC5">
      <w:pPr>
        <w:spacing w:after="0" w:line="240" w:lineRule="auto"/>
      </w:pPr>
    </w:p>
    <w:p w14:paraId="082462A0" w14:textId="77777777" w:rsidR="00EE1AC5" w:rsidRDefault="006A3831" w:rsidP="00EE1AC5">
      <w:pPr>
        <w:spacing w:after="0" w:line="240" w:lineRule="auto"/>
      </w:pPr>
      <w:r>
        <w:t xml:space="preserve">The Board and Executive of </w:t>
      </w:r>
      <w:r w:rsidR="00EE1AC5">
        <w:t xml:space="preserve">Hawk’s Well Theatre </w:t>
      </w:r>
      <w:r>
        <w:t>are currently:</w:t>
      </w:r>
    </w:p>
    <w:p w14:paraId="76E83C35" w14:textId="77777777" w:rsidR="00A144CC" w:rsidRDefault="00A144CC" w:rsidP="00EE1AC5">
      <w:pPr>
        <w:spacing w:after="0" w:line="240" w:lineRule="auto"/>
      </w:pPr>
    </w:p>
    <w:p w14:paraId="465AC446" w14:textId="77777777" w:rsidR="00EE1AC5" w:rsidRPr="00EE1AC5" w:rsidRDefault="00EE1AC5" w:rsidP="00EE1AC5">
      <w:pPr>
        <w:spacing w:after="0" w:line="240" w:lineRule="auto"/>
        <w:rPr>
          <w:u w:val="single"/>
        </w:rPr>
      </w:pPr>
      <w:r w:rsidRPr="00EE1AC5">
        <w:rPr>
          <w:u w:val="single"/>
        </w:rPr>
        <w:t>Board of Directors:</w:t>
      </w:r>
    </w:p>
    <w:p w14:paraId="55D651E7" w14:textId="4DCA95F9" w:rsidR="00DA2203" w:rsidRDefault="00DA2203" w:rsidP="00EE1AC5">
      <w:pPr>
        <w:spacing w:after="0" w:line="240" w:lineRule="auto"/>
      </w:pPr>
      <w:r w:rsidRPr="00DA2203">
        <w:t>Elaine Coghill</w:t>
      </w:r>
    </w:p>
    <w:p w14:paraId="6FE83F88" w14:textId="24F2C242" w:rsidR="00DA2203" w:rsidRDefault="00DA2203" w:rsidP="00EE1AC5">
      <w:pPr>
        <w:spacing w:after="0" w:line="240" w:lineRule="auto"/>
      </w:pPr>
      <w:r w:rsidRPr="00DA2203">
        <w:t>Ben Healy</w:t>
      </w:r>
    </w:p>
    <w:p w14:paraId="101321CB" w14:textId="3062CDD9" w:rsidR="00DA2203" w:rsidRDefault="00DA2203" w:rsidP="00EE1AC5">
      <w:pPr>
        <w:spacing w:after="0" w:line="240" w:lineRule="auto"/>
      </w:pPr>
      <w:r w:rsidRPr="00DA2203">
        <w:t>Nichola MacEvilly</w:t>
      </w:r>
    </w:p>
    <w:p w14:paraId="597FCC48" w14:textId="6D0E1653" w:rsidR="00DA2203" w:rsidRDefault="00DA2203" w:rsidP="00EE1AC5">
      <w:pPr>
        <w:spacing w:after="0" w:line="240" w:lineRule="auto"/>
      </w:pPr>
      <w:r w:rsidRPr="00DA2203">
        <w:t>Cllr. Sinead Maguire</w:t>
      </w:r>
    </w:p>
    <w:p w14:paraId="507B5B79" w14:textId="2A3A8456" w:rsidR="00DA2203" w:rsidRDefault="00DA2203" w:rsidP="00EE1AC5">
      <w:pPr>
        <w:spacing w:after="0" w:line="240" w:lineRule="auto"/>
      </w:pPr>
      <w:r w:rsidRPr="00DA2203">
        <w:t>Allan Mulrooney</w:t>
      </w:r>
    </w:p>
    <w:p w14:paraId="21F3A266" w14:textId="1AA9DDA7" w:rsidR="00DA2203" w:rsidRDefault="00DA2203" w:rsidP="00EE1AC5">
      <w:pPr>
        <w:spacing w:after="0" w:line="240" w:lineRule="auto"/>
      </w:pPr>
      <w:proofErr w:type="spellStart"/>
      <w:r w:rsidRPr="00DA2203">
        <w:t>Cllr.Rosaleen</w:t>
      </w:r>
      <w:proofErr w:type="spellEnd"/>
      <w:r w:rsidRPr="00DA2203">
        <w:t xml:space="preserve"> O’Grady</w:t>
      </w:r>
    </w:p>
    <w:p w14:paraId="3EF5F22C" w14:textId="04FD2340" w:rsidR="00DA2203" w:rsidRDefault="00DA2203" w:rsidP="00EE1AC5">
      <w:pPr>
        <w:spacing w:after="0" w:line="240" w:lineRule="auto"/>
      </w:pPr>
      <w:r w:rsidRPr="00DA2203">
        <w:t xml:space="preserve">Mary </w:t>
      </w:r>
      <w:proofErr w:type="spellStart"/>
      <w:r w:rsidRPr="00DA2203">
        <w:t>O’Hehir</w:t>
      </w:r>
      <w:proofErr w:type="spellEnd"/>
    </w:p>
    <w:p w14:paraId="7E3E114F" w14:textId="2E2AF358" w:rsidR="00DA2203" w:rsidRDefault="00DA2203" w:rsidP="00EE1AC5">
      <w:pPr>
        <w:spacing w:after="0" w:line="240" w:lineRule="auto"/>
      </w:pPr>
      <w:r w:rsidRPr="00DA2203">
        <w:t>Des Power</w:t>
      </w:r>
    </w:p>
    <w:p w14:paraId="0D082247" w14:textId="77777777" w:rsidR="00DA2203" w:rsidRDefault="00DA2203" w:rsidP="00EE1AC5">
      <w:pPr>
        <w:spacing w:after="0" w:line="240" w:lineRule="auto"/>
      </w:pPr>
      <w:r w:rsidRPr="00DA2203">
        <w:t>Roddy Quinn</w:t>
      </w:r>
    </w:p>
    <w:p w14:paraId="04C8AC75" w14:textId="06232326" w:rsidR="006A3831" w:rsidRDefault="00DA2203" w:rsidP="00EE1AC5">
      <w:pPr>
        <w:spacing w:after="0" w:line="240" w:lineRule="auto"/>
      </w:pPr>
      <w:r w:rsidRPr="00DA2203">
        <w:t xml:space="preserve"> </w:t>
      </w:r>
    </w:p>
    <w:p w14:paraId="218CC9AA" w14:textId="77777777" w:rsidR="006A3831" w:rsidRPr="00EE1AC5" w:rsidRDefault="006A3831" w:rsidP="00EE1AC5">
      <w:pPr>
        <w:spacing w:after="0" w:line="240" w:lineRule="auto"/>
        <w:rPr>
          <w:u w:val="single"/>
        </w:rPr>
      </w:pPr>
      <w:r w:rsidRPr="00EE1AC5">
        <w:rPr>
          <w:u w:val="single"/>
        </w:rPr>
        <w:t>Executive</w:t>
      </w:r>
    </w:p>
    <w:p w14:paraId="31214B56" w14:textId="77777777" w:rsidR="00EE1AC5" w:rsidRDefault="00EE1AC5" w:rsidP="00EE1AC5">
      <w:pPr>
        <w:spacing w:after="0" w:line="240" w:lineRule="auto"/>
      </w:pPr>
      <w:r>
        <w:t>Marie O’Byrne</w:t>
      </w:r>
    </w:p>
    <w:p w14:paraId="6553EE25" w14:textId="77777777" w:rsidR="006A3831" w:rsidRDefault="006A3831" w:rsidP="00EE1AC5">
      <w:pPr>
        <w:spacing w:after="0" w:line="240" w:lineRule="auto"/>
      </w:pPr>
    </w:p>
    <w:p w14:paraId="5FE3DB5B" w14:textId="77777777" w:rsidR="00EE1AC5" w:rsidRDefault="006A3831" w:rsidP="00EE1AC5">
      <w:pPr>
        <w:spacing w:after="0" w:line="240" w:lineRule="auto"/>
      </w:pPr>
      <w:r>
        <w:t xml:space="preserve">Further details can be found at </w:t>
      </w:r>
      <w:hyperlink r:id="rId7" w:history="1">
        <w:r w:rsidR="00C24E64">
          <w:rPr>
            <w:rStyle w:val="Hyperlink"/>
          </w:rPr>
          <w:t>https://www.hawkswell.com/about/governance</w:t>
        </w:r>
      </w:hyperlink>
      <w:r w:rsidR="00C24E64">
        <w:t>.</w:t>
      </w:r>
    </w:p>
    <w:p w14:paraId="43630AB3" w14:textId="77777777" w:rsidR="00EE1AC5" w:rsidRDefault="00EE1AC5" w:rsidP="00EE1AC5">
      <w:pPr>
        <w:spacing w:after="0" w:line="240" w:lineRule="auto"/>
      </w:pPr>
    </w:p>
    <w:p w14:paraId="499E4A4C" w14:textId="77777777" w:rsidR="00993EE0" w:rsidRPr="00A144CC" w:rsidRDefault="00993EE0" w:rsidP="00EE1AC5">
      <w:pPr>
        <w:spacing w:after="0" w:line="240" w:lineRule="auto"/>
      </w:pPr>
    </w:p>
    <w:sectPr w:rsidR="00993EE0" w:rsidRPr="00A144CC" w:rsidSect="00687A3E">
      <w:headerReference w:type="default" r:id="rId8"/>
      <w:footerReference w:type="default" r:id="rId9"/>
      <w:pgSz w:w="11906" w:h="16838"/>
      <w:pgMar w:top="1440"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C0F3B" w14:textId="77777777" w:rsidR="00273ABB" w:rsidRDefault="00273ABB" w:rsidP="00F515F5">
      <w:pPr>
        <w:spacing w:after="0" w:line="240" w:lineRule="auto"/>
      </w:pPr>
      <w:r>
        <w:separator/>
      </w:r>
    </w:p>
  </w:endnote>
  <w:endnote w:type="continuationSeparator" w:id="0">
    <w:p w14:paraId="5889D340" w14:textId="77777777" w:rsidR="00273ABB" w:rsidRDefault="00273ABB" w:rsidP="00F5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Light">
    <w:altName w:val="Gotham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5530" w14:textId="3D778D16" w:rsidR="00F515F5" w:rsidRDefault="00F515F5" w:rsidP="00F515F5">
    <w:pPr>
      <w:spacing w:after="0" w:line="240" w:lineRule="auto"/>
    </w:pPr>
    <w:r>
      <w:t>V</w:t>
    </w:r>
    <w:r w:rsidR="00DA2203">
      <w:t>2</w:t>
    </w:r>
    <w:r>
      <w:t xml:space="preserve">: </w:t>
    </w:r>
    <w:r w:rsidR="00DA2203">
      <w:t>13/02/2023</w:t>
    </w:r>
  </w:p>
  <w:p w14:paraId="2572C7B7" w14:textId="77777777" w:rsidR="00F515F5" w:rsidRDefault="00F51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51435" w14:textId="77777777" w:rsidR="00273ABB" w:rsidRDefault="00273ABB" w:rsidP="00F515F5">
      <w:pPr>
        <w:spacing w:after="0" w:line="240" w:lineRule="auto"/>
      </w:pPr>
      <w:r>
        <w:separator/>
      </w:r>
    </w:p>
  </w:footnote>
  <w:footnote w:type="continuationSeparator" w:id="0">
    <w:p w14:paraId="13AD1992" w14:textId="77777777" w:rsidR="00273ABB" w:rsidRDefault="00273ABB" w:rsidP="00F51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A82A" w14:textId="77777777" w:rsidR="00F515F5" w:rsidRDefault="00F515F5" w:rsidP="00F515F5">
    <w:pPr>
      <w:pStyle w:val="Header"/>
      <w:jc w:val="right"/>
    </w:pPr>
    <w:r>
      <w:rPr>
        <w:noProof/>
        <w:lang w:eastAsia="en-IE"/>
      </w:rPr>
      <w:drawing>
        <wp:inline distT="0" distB="0" distL="0" distR="0" wp14:anchorId="230F6E0A" wp14:editId="21FD3998">
          <wp:extent cx="1007110" cy="354039"/>
          <wp:effectExtent l="0" t="0" r="254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WT logo.gif"/>
                  <pic:cNvPicPr/>
                </pic:nvPicPr>
                <pic:blipFill>
                  <a:blip r:embed="rId1">
                    <a:extLst>
                      <a:ext uri="{28A0092B-C50C-407E-A947-70E740481C1C}">
                        <a14:useLocalDpi xmlns:a14="http://schemas.microsoft.com/office/drawing/2010/main" val="0"/>
                      </a:ext>
                    </a:extLst>
                  </a:blip>
                  <a:stretch>
                    <a:fillRect/>
                  </a:stretch>
                </pic:blipFill>
                <pic:spPr>
                  <a:xfrm>
                    <a:off x="0" y="0"/>
                    <a:ext cx="1014382" cy="356595"/>
                  </a:xfrm>
                  <a:prstGeom prst="rect">
                    <a:avLst/>
                  </a:prstGeom>
                </pic:spPr>
              </pic:pic>
            </a:graphicData>
          </a:graphic>
        </wp:inline>
      </w:drawing>
    </w:r>
  </w:p>
  <w:p w14:paraId="0BEF5018" w14:textId="77777777" w:rsidR="009E3428" w:rsidRPr="009E3428" w:rsidRDefault="009E3428" w:rsidP="009E3428">
    <w:pPr>
      <w:pStyle w:val="Header"/>
      <w:rPr>
        <w:rFonts w:cs="Calibri"/>
      </w:rPr>
    </w:pPr>
    <w:r w:rsidRPr="00776E5C">
      <w:rPr>
        <w:rFonts w:cs="Calibri"/>
      </w:rPr>
      <w:t>Hawk’s Well Theatre CLG: Po</w:t>
    </w:r>
    <w:r>
      <w:rPr>
        <w:rFonts w:cs="Calibri"/>
      </w:rPr>
      <w:t>licy Documentation; Ref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21B03"/>
    <w:multiLevelType w:val="hybridMultilevel"/>
    <w:tmpl w:val="FCB2F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7D29530E"/>
    <w:multiLevelType w:val="hybridMultilevel"/>
    <w:tmpl w:val="0DA6EF78"/>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num w:numId="1" w16cid:durableId="1999573058">
    <w:abstractNumId w:val="0"/>
  </w:num>
  <w:num w:numId="2" w16cid:durableId="1873375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EE0"/>
    <w:rsid w:val="00023721"/>
    <w:rsid w:val="00067CB3"/>
    <w:rsid w:val="001459FD"/>
    <w:rsid w:val="00273ABB"/>
    <w:rsid w:val="002A6BDF"/>
    <w:rsid w:val="00351E0E"/>
    <w:rsid w:val="00532EA9"/>
    <w:rsid w:val="00606247"/>
    <w:rsid w:val="00635934"/>
    <w:rsid w:val="00687A3E"/>
    <w:rsid w:val="006A3831"/>
    <w:rsid w:val="006B7808"/>
    <w:rsid w:val="00710C91"/>
    <w:rsid w:val="00723602"/>
    <w:rsid w:val="008609F5"/>
    <w:rsid w:val="008E0051"/>
    <w:rsid w:val="008F5735"/>
    <w:rsid w:val="009433DF"/>
    <w:rsid w:val="00993EE0"/>
    <w:rsid w:val="00994591"/>
    <w:rsid w:val="009D48C4"/>
    <w:rsid w:val="009E3428"/>
    <w:rsid w:val="00A144CC"/>
    <w:rsid w:val="00AB285E"/>
    <w:rsid w:val="00B949ED"/>
    <w:rsid w:val="00BD1CCF"/>
    <w:rsid w:val="00BD1E6D"/>
    <w:rsid w:val="00C24E64"/>
    <w:rsid w:val="00CD1609"/>
    <w:rsid w:val="00D72F26"/>
    <w:rsid w:val="00DA2203"/>
    <w:rsid w:val="00E20E3C"/>
    <w:rsid w:val="00E23409"/>
    <w:rsid w:val="00E363BE"/>
    <w:rsid w:val="00EE1AC5"/>
    <w:rsid w:val="00F515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5A7FCD"/>
  <w15:chartTrackingRefBased/>
  <w15:docId w15:val="{1D72ACE1-229D-4F5D-8DCB-41CAA91B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1E0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51E0E"/>
    <w:rPr>
      <w:rFonts w:ascii="Segoe UI" w:hAnsi="Segoe UI" w:cs="Segoe UI"/>
      <w:sz w:val="18"/>
      <w:szCs w:val="18"/>
      <w:lang w:eastAsia="en-US"/>
    </w:rPr>
  </w:style>
  <w:style w:type="paragraph" w:customStyle="1" w:styleId="ColorfulList-Accent11">
    <w:name w:val="Colorful List - Accent 11"/>
    <w:basedOn w:val="Normal"/>
    <w:qFormat/>
    <w:rsid w:val="009D48C4"/>
    <w:pPr>
      <w:spacing w:before="60" w:after="120" w:line="240" w:lineRule="auto"/>
      <w:ind w:left="720"/>
      <w:contextualSpacing/>
    </w:pPr>
    <w:rPr>
      <w:rFonts w:eastAsia="Times New Roman" w:cs="Calibri"/>
      <w:sz w:val="20"/>
      <w:szCs w:val="24"/>
      <w:lang w:val="en-GB"/>
    </w:rPr>
  </w:style>
  <w:style w:type="paragraph" w:customStyle="1" w:styleId="xxmsonormal">
    <w:name w:val="x_x_msonormal"/>
    <w:basedOn w:val="Normal"/>
    <w:rsid w:val="00D72F26"/>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A1">
    <w:name w:val="A1"/>
    <w:uiPriority w:val="99"/>
    <w:rsid w:val="00D72F26"/>
    <w:rPr>
      <w:rFonts w:cs="Gotham Light"/>
      <w:color w:val="000000"/>
      <w:sz w:val="23"/>
      <w:szCs w:val="23"/>
    </w:rPr>
  </w:style>
  <w:style w:type="paragraph" w:styleId="ListParagraph">
    <w:name w:val="List Paragraph"/>
    <w:basedOn w:val="Normal"/>
    <w:uiPriority w:val="34"/>
    <w:qFormat/>
    <w:rsid w:val="009433DF"/>
    <w:pPr>
      <w:spacing w:after="0" w:line="240" w:lineRule="auto"/>
      <w:ind w:left="720"/>
      <w:contextualSpacing/>
    </w:pPr>
    <w:rPr>
      <w:rFonts w:cs="Calibri"/>
    </w:rPr>
  </w:style>
  <w:style w:type="character" w:styleId="Hyperlink">
    <w:name w:val="Hyperlink"/>
    <w:basedOn w:val="DefaultParagraphFont"/>
    <w:uiPriority w:val="99"/>
    <w:unhideWhenUsed/>
    <w:rsid w:val="00EE1AC5"/>
    <w:rPr>
      <w:color w:val="0000FF"/>
      <w:u w:val="single"/>
    </w:rPr>
  </w:style>
  <w:style w:type="paragraph" w:styleId="Header">
    <w:name w:val="header"/>
    <w:basedOn w:val="Normal"/>
    <w:link w:val="HeaderChar"/>
    <w:uiPriority w:val="99"/>
    <w:unhideWhenUsed/>
    <w:rsid w:val="00F51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5F5"/>
    <w:rPr>
      <w:sz w:val="22"/>
      <w:szCs w:val="22"/>
      <w:lang w:eastAsia="en-US"/>
    </w:rPr>
  </w:style>
  <w:style w:type="paragraph" w:styleId="Footer">
    <w:name w:val="footer"/>
    <w:basedOn w:val="Normal"/>
    <w:link w:val="FooterChar"/>
    <w:uiPriority w:val="99"/>
    <w:unhideWhenUsed/>
    <w:rsid w:val="00F51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5F5"/>
    <w:rPr>
      <w:sz w:val="22"/>
      <w:szCs w:val="22"/>
      <w:lang w:eastAsia="en-US"/>
    </w:rPr>
  </w:style>
  <w:style w:type="character" w:styleId="Strong">
    <w:name w:val="Strong"/>
    <w:basedOn w:val="DefaultParagraphFont"/>
    <w:uiPriority w:val="22"/>
    <w:qFormat/>
    <w:rsid w:val="009E3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96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awkswell.com/about/govern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c:creator>
  <cp:keywords/>
  <dc:description/>
  <cp:lastModifiedBy>Marie O'Byrne | Hawk's Well Theatre</cp:lastModifiedBy>
  <cp:revision>5</cp:revision>
  <cp:lastPrinted>2018-08-15T13:07:00Z</cp:lastPrinted>
  <dcterms:created xsi:type="dcterms:W3CDTF">2019-09-25T11:32:00Z</dcterms:created>
  <dcterms:modified xsi:type="dcterms:W3CDTF">2023-02-13T22:19:00Z</dcterms:modified>
</cp:coreProperties>
</file>